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16" w:rsidRPr="009378DF" w:rsidRDefault="00671916" w:rsidP="00671916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4</w:t>
      </w:r>
    </w:p>
    <w:p w:rsidR="00671916" w:rsidRDefault="00671916" w:rsidP="0067191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6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671916" w:rsidRPr="00EE774A" w:rsidRDefault="00671916" w:rsidP="0067191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671916" w:rsidRPr="00EE774A" w:rsidRDefault="00671916" w:rsidP="00671916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551CA5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8E64BA">
        <w:rPr>
          <w:rFonts w:ascii="宋体" w:hAnsi="宋体" w:hint="eastAsia"/>
          <w:color w:val="000000"/>
          <w:szCs w:val="21"/>
        </w:rPr>
        <w:t>5</w:t>
      </w:r>
      <w:r>
        <w:rPr>
          <w:rFonts w:ascii="宋体" w:hAnsi="宋体" w:hint="eastAsia"/>
          <w:color w:val="000000"/>
          <w:szCs w:val="21"/>
        </w:rPr>
        <w:t>月</w:t>
      </w:r>
      <w:r w:rsidR="008E64BA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671916" w:rsidRPr="000A55B8" w:rsidRDefault="00671916" w:rsidP="00917CDB">
      <w:pPr>
        <w:ind w:firstLine="420"/>
        <w:rPr>
          <w:rFonts w:ascii="宋体" w:hAnsi="宋体"/>
          <w:color w:val="000000"/>
          <w:sz w:val="28"/>
          <w:szCs w:val="28"/>
        </w:rPr>
      </w:pPr>
      <w:r w:rsidRPr="00AC23D9">
        <w:rPr>
          <w:rFonts w:ascii="宋体" w:hAnsi="宋体" w:hint="eastAsia"/>
          <w:color w:val="000000"/>
          <w:sz w:val="28"/>
          <w:szCs w:val="28"/>
        </w:rPr>
        <w:t>“乾元—满溢”60天开放式资产组合型人民币理财产品（机构版）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917CDB" w:rsidRPr="00917CDB">
        <w:rPr>
          <w:rFonts w:ascii="宋体" w:hAnsi="宋体" w:hint="eastAsia"/>
          <w:color w:val="000000"/>
          <w:sz w:val="28"/>
          <w:szCs w:val="28"/>
        </w:rPr>
        <w:t>2,771,401,020.00</w:t>
      </w:r>
      <w:r w:rsidRPr="002C4585">
        <w:rPr>
          <w:rFonts w:ascii="宋体" w:hAnsi="宋体" w:hint="eastAsia"/>
          <w:color w:val="000000"/>
          <w:sz w:val="28"/>
          <w:szCs w:val="28"/>
        </w:rPr>
        <w:t>元。</w:t>
      </w:r>
    </w:p>
    <w:p w:rsidR="00671916" w:rsidRPr="00EE774A" w:rsidRDefault="00671916" w:rsidP="00671916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020100" w:rsidRPr="00020100" w:rsidRDefault="00EF4B40" w:rsidP="00020100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中国建设银行</w:t>
      </w:r>
      <w:r w:rsidR="00020100" w:rsidRPr="00020100">
        <w:rPr>
          <w:rFonts w:ascii="宋体" w:hAnsi="宋体" w:hint="eastAsia"/>
          <w:color w:val="000000"/>
          <w:sz w:val="28"/>
          <w:szCs w:val="28"/>
        </w:rPr>
        <w:t>于2018年5月30日（含）起，调整“乾元—满溢”60天开放式资产组合型人民币理财产品（机构版）客户</w:t>
      </w:r>
      <w:proofErr w:type="gramStart"/>
      <w:r w:rsidR="00020100" w:rsidRPr="00020100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="00020100" w:rsidRPr="00020100">
        <w:rPr>
          <w:rFonts w:ascii="宋体" w:hAnsi="宋体" w:hint="eastAsia"/>
          <w:color w:val="000000"/>
          <w:sz w:val="28"/>
          <w:szCs w:val="28"/>
        </w:rPr>
        <w:t>，具体如下表：</w:t>
      </w:r>
    </w:p>
    <w:p w:rsidR="00020100" w:rsidRPr="00020100" w:rsidRDefault="00020100" w:rsidP="00020100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tbl>
      <w:tblPr>
        <w:tblW w:w="4025" w:type="pct"/>
        <w:jc w:val="center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9"/>
        <w:gridCol w:w="2633"/>
        <w:gridCol w:w="2628"/>
      </w:tblGrid>
      <w:tr w:rsidR="00020100" w:rsidRPr="00EF4B40" w:rsidTr="00020100">
        <w:trPr>
          <w:trHeight w:val="20"/>
          <w:tblHeader/>
          <w:jc w:val="center"/>
        </w:trPr>
        <w:tc>
          <w:tcPr>
            <w:tcW w:w="1599" w:type="dxa"/>
            <w:vAlign w:val="center"/>
            <w:hideMark/>
          </w:tcPr>
          <w:p w:rsidR="00020100" w:rsidRPr="00977EA8" w:rsidRDefault="00020100" w:rsidP="007D192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977EA8">
              <w:rPr>
                <w:rFonts w:ascii="宋体" w:hAnsi="宋体" w:hint="eastAsia"/>
                <w:color w:val="000000"/>
                <w:sz w:val="22"/>
                <w:szCs w:val="28"/>
              </w:rPr>
              <w:t>档期设置</w:t>
            </w:r>
          </w:p>
        </w:tc>
        <w:tc>
          <w:tcPr>
            <w:tcW w:w="2633" w:type="dxa"/>
            <w:vAlign w:val="center"/>
            <w:hideMark/>
          </w:tcPr>
          <w:p w:rsidR="00020100" w:rsidRPr="00977EA8" w:rsidRDefault="00020100" w:rsidP="007D192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977EA8">
              <w:rPr>
                <w:rFonts w:ascii="宋体" w:hAnsi="宋体" w:hint="eastAsia"/>
                <w:color w:val="000000"/>
                <w:sz w:val="22"/>
                <w:szCs w:val="28"/>
              </w:rPr>
              <w:t>客户</w:t>
            </w:r>
            <w:proofErr w:type="gramStart"/>
            <w:r w:rsidRPr="00977EA8">
              <w:rPr>
                <w:rFonts w:ascii="宋体" w:hAnsi="宋体" w:hint="eastAsia"/>
                <w:color w:val="000000"/>
                <w:sz w:val="22"/>
                <w:szCs w:val="28"/>
              </w:rPr>
              <w:t>预期年化收益率</w:t>
            </w:r>
            <w:proofErr w:type="gramEnd"/>
          </w:p>
          <w:p w:rsidR="00020100" w:rsidRPr="00977EA8" w:rsidRDefault="00020100" w:rsidP="007D192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977EA8">
              <w:rPr>
                <w:rFonts w:ascii="宋体" w:hAnsi="宋体" w:hint="eastAsia"/>
                <w:color w:val="000000"/>
                <w:sz w:val="22"/>
                <w:szCs w:val="28"/>
              </w:rPr>
              <w:t>（调整前）</w:t>
            </w:r>
          </w:p>
        </w:tc>
        <w:tc>
          <w:tcPr>
            <w:tcW w:w="2628" w:type="dxa"/>
            <w:hideMark/>
          </w:tcPr>
          <w:p w:rsidR="00020100" w:rsidRPr="00977EA8" w:rsidRDefault="00020100" w:rsidP="007D192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977EA8">
              <w:rPr>
                <w:rFonts w:ascii="宋体" w:hAnsi="宋体" w:hint="eastAsia"/>
                <w:color w:val="000000"/>
                <w:sz w:val="22"/>
                <w:szCs w:val="28"/>
              </w:rPr>
              <w:t>客户</w:t>
            </w:r>
            <w:proofErr w:type="gramStart"/>
            <w:r w:rsidRPr="00977EA8">
              <w:rPr>
                <w:rFonts w:ascii="宋体" w:hAnsi="宋体" w:hint="eastAsia"/>
                <w:color w:val="000000"/>
                <w:sz w:val="22"/>
                <w:szCs w:val="28"/>
              </w:rPr>
              <w:t>预期年化收益率</w:t>
            </w:r>
            <w:proofErr w:type="gramEnd"/>
          </w:p>
          <w:p w:rsidR="00020100" w:rsidRPr="00977EA8" w:rsidRDefault="00020100" w:rsidP="007D192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977EA8">
              <w:rPr>
                <w:rFonts w:ascii="宋体" w:hAnsi="宋体" w:hint="eastAsia"/>
                <w:color w:val="000000"/>
                <w:sz w:val="22"/>
                <w:szCs w:val="28"/>
              </w:rPr>
              <w:t>（调整后）</w:t>
            </w:r>
          </w:p>
        </w:tc>
      </w:tr>
      <w:tr w:rsidR="00020100" w:rsidRPr="00EF4B40" w:rsidTr="00020100">
        <w:trPr>
          <w:trHeight w:val="20"/>
          <w:jc w:val="center"/>
        </w:trPr>
        <w:tc>
          <w:tcPr>
            <w:tcW w:w="1599" w:type="dxa"/>
            <w:vAlign w:val="center"/>
            <w:hideMark/>
          </w:tcPr>
          <w:p w:rsidR="00020100" w:rsidRPr="00977EA8" w:rsidRDefault="00020100" w:rsidP="007D192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977EA8">
              <w:rPr>
                <w:rFonts w:ascii="宋体" w:hAnsi="宋体" w:hint="eastAsia"/>
                <w:color w:val="000000"/>
                <w:sz w:val="22"/>
                <w:szCs w:val="28"/>
              </w:rPr>
              <w:t>60天</w:t>
            </w:r>
          </w:p>
        </w:tc>
        <w:tc>
          <w:tcPr>
            <w:tcW w:w="2633" w:type="dxa"/>
            <w:hideMark/>
          </w:tcPr>
          <w:p w:rsidR="00020100" w:rsidRPr="00977EA8" w:rsidRDefault="00020100" w:rsidP="007D192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977EA8">
              <w:rPr>
                <w:rFonts w:ascii="宋体" w:hAnsi="宋体" w:hint="eastAsia"/>
                <w:color w:val="000000"/>
                <w:sz w:val="22"/>
                <w:szCs w:val="28"/>
              </w:rPr>
              <w:t>4.55%</w:t>
            </w:r>
          </w:p>
        </w:tc>
        <w:tc>
          <w:tcPr>
            <w:tcW w:w="2628" w:type="dxa"/>
            <w:hideMark/>
          </w:tcPr>
          <w:p w:rsidR="00020100" w:rsidRPr="00977EA8" w:rsidRDefault="00020100" w:rsidP="007D192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  <w:szCs w:val="28"/>
              </w:rPr>
            </w:pPr>
            <w:r w:rsidRPr="00977EA8">
              <w:rPr>
                <w:rFonts w:ascii="宋体" w:hAnsi="宋体" w:hint="eastAsia"/>
                <w:color w:val="000000"/>
                <w:sz w:val="22"/>
                <w:szCs w:val="28"/>
              </w:rPr>
              <w:t>4.25%</w:t>
            </w:r>
          </w:p>
        </w:tc>
      </w:tr>
    </w:tbl>
    <w:p w:rsidR="00020100" w:rsidRPr="00020100" w:rsidRDefault="00020100" w:rsidP="00020100">
      <w:pPr>
        <w:spacing w:line="560" w:lineRule="exact"/>
        <w:rPr>
          <w:rFonts w:ascii="宋体" w:hAnsi="宋体"/>
          <w:color w:val="000000"/>
          <w:sz w:val="28"/>
          <w:szCs w:val="28"/>
        </w:rPr>
      </w:pPr>
    </w:p>
    <w:p w:rsidR="00020100" w:rsidRPr="00020100" w:rsidRDefault="00020100" w:rsidP="00020100">
      <w:pPr>
        <w:spacing w:line="56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020100">
        <w:rPr>
          <w:rFonts w:ascii="宋体" w:hAnsi="宋体" w:hint="eastAsia"/>
          <w:color w:val="000000"/>
          <w:sz w:val="28"/>
          <w:szCs w:val="28"/>
        </w:rPr>
        <w:t>新客户</w:t>
      </w:r>
      <w:proofErr w:type="gramStart"/>
      <w:r w:rsidRPr="00020100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020100">
        <w:rPr>
          <w:rFonts w:ascii="宋体" w:hAnsi="宋体" w:hint="eastAsia"/>
          <w:color w:val="000000"/>
          <w:sz w:val="28"/>
          <w:szCs w:val="28"/>
        </w:rPr>
        <w:t>于2018年5月30日（含）起执行。对于2018年5月30日（不含）前已经购买成功且未赎回的存量投资本金，其中封闭期内的份额仍按照购买确认日当日的客户</w:t>
      </w:r>
      <w:proofErr w:type="gramStart"/>
      <w:r w:rsidRPr="00020100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020100">
        <w:rPr>
          <w:rFonts w:ascii="宋体" w:hAnsi="宋体" w:hint="eastAsia"/>
          <w:color w:val="000000"/>
          <w:sz w:val="28"/>
          <w:szCs w:val="28"/>
        </w:rPr>
        <w:t>计算投资收益，非封闭期内的份额从2018年5月30日（含）起按调整后的</w:t>
      </w:r>
      <w:proofErr w:type="gramStart"/>
      <w:r w:rsidRPr="00020100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020100">
        <w:rPr>
          <w:rFonts w:ascii="宋体" w:hAnsi="宋体" w:hint="eastAsia"/>
          <w:color w:val="000000"/>
          <w:sz w:val="28"/>
          <w:szCs w:val="28"/>
        </w:rPr>
        <w:t>计算投资收益。2018年5月30日（含）后购买的部分自动执行调整后的客户</w:t>
      </w:r>
      <w:proofErr w:type="gramStart"/>
      <w:r w:rsidRPr="00020100">
        <w:rPr>
          <w:rFonts w:ascii="宋体" w:hAnsi="宋体" w:hint="eastAsia"/>
          <w:color w:val="000000"/>
          <w:sz w:val="28"/>
          <w:szCs w:val="28"/>
        </w:rPr>
        <w:t>预期年化收益率</w:t>
      </w:r>
      <w:proofErr w:type="gramEnd"/>
      <w:r w:rsidRPr="00020100">
        <w:rPr>
          <w:rFonts w:ascii="宋体" w:hAnsi="宋体" w:hint="eastAsia"/>
          <w:color w:val="000000"/>
          <w:sz w:val="28"/>
          <w:szCs w:val="28"/>
        </w:rPr>
        <w:t>。但前述情形下的最终投资收益均以我</w:t>
      </w:r>
      <w:proofErr w:type="gramStart"/>
      <w:r w:rsidRPr="00020100">
        <w:rPr>
          <w:rFonts w:ascii="宋体" w:hAnsi="宋体" w:hint="eastAsia"/>
          <w:color w:val="000000"/>
          <w:sz w:val="28"/>
          <w:szCs w:val="28"/>
        </w:rPr>
        <w:t>行最终</w:t>
      </w:r>
      <w:proofErr w:type="gramEnd"/>
      <w:r w:rsidRPr="00020100">
        <w:rPr>
          <w:rFonts w:ascii="宋体" w:hAnsi="宋体" w:hint="eastAsia"/>
          <w:color w:val="000000"/>
          <w:sz w:val="28"/>
          <w:szCs w:val="28"/>
        </w:rPr>
        <w:t>支付的</w:t>
      </w:r>
      <w:proofErr w:type="gramStart"/>
      <w:r w:rsidRPr="00020100">
        <w:rPr>
          <w:rFonts w:ascii="宋体" w:hAnsi="宋体" w:hint="eastAsia"/>
          <w:color w:val="000000"/>
          <w:sz w:val="28"/>
          <w:szCs w:val="28"/>
        </w:rPr>
        <w:t>实际年化收益率</w:t>
      </w:r>
      <w:proofErr w:type="gramEnd"/>
      <w:r w:rsidRPr="00020100">
        <w:rPr>
          <w:rFonts w:ascii="宋体" w:hAnsi="宋体" w:hint="eastAsia"/>
          <w:color w:val="000000"/>
          <w:sz w:val="28"/>
          <w:szCs w:val="28"/>
        </w:rPr>
        <w:t>为准。</w:t>
      </w:r>
    </w:p>
    <w:p w:rsidR="00671916" w:rsidRPr="00EE774A" w:rsidRDefault="00671916" w:rsidP="00671916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lastRenderedPageBreak/>
        <w:t>二、产品投资组合详细情况</w:t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671916" w:rsidRPr="00EE774A" w:rsidRDefault="00C34154" w:rsidP="0067191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50AE197" wp14:editId="33D7C6FD">
            <wp:extent cx="2895600" cy="1581150"/>
            <wp:effectExtent l="3810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71916" w:rsidRPr="00EE774A" w:rsidRDefault="00671916" w:rsidP="00671916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671916" w:rsidRPr="00EE774A" w:rsidRDefault="00C34154" w:rsidP="0067191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72BDAB1" wp14:editId="171496DC">
            <wp:extent cx="3028950" cy="1733550"/>
            <wp:effectExtent l="0" t="0" r="19050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FF2407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FF2407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671916" w:rsidRPr="005622F6" w:rsidRDefault="00C34154" w:rsidP="00671916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8A08D53" wp14:editId="4045519F">
            <wp:extent cx="5274310" cy="1736127"/>
            <wp:effectExtent l="0" t="0" r="21590" b="1651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671916" w:rsidRPr="00EE774A" w:rsidRDefault="00671916" w:rsidP="00671916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lastRenderedPageBreak/>
        <w:t>中国建设银行</w:t>
      </w:r>
    </w:p>
    <w:p w:rsidR="001C5F6A" w:rsidRDefault="00671916" w:rsidP="00671916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1C5F6A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020100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020100"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671916" w:rsidRPr="00371CB6" w:rsidRDefault="00671916" w:rsidP="00701641">
      <w:pPr>
        <w:widowControl/>
        <w:jc w:val="left"/>
        <w:rPr>
          <w:rFonts w:ascii="宋体" w:hAnsi="宋体"/>
          <w:color w:val="000000"/>
          <w:sz w:val="28"/>
          <w:szCs w:val="28"/>
        </w:rPr>
      </w:pPr>
    </w:p>
    <w:sectPr w:rsidR="00671916" w:rsidRPr="00371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1A7" w:rsidRDefault="009861A7" w:rsidP="00671916">
      <w:r>
        <w:separator/>
      </w:r>
    </w:p>
  </w:endnote>
  <w:endnote w:type="continuationSeparator" w:id="0">
    <w:p w:rsidR="009861A7" w:rsidRDefault="009861A7" w:rsidP="0067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1A7" w:rsidRDefault="009861A7" w:rsidP="00671916">
      <w:r>
        <w:separator/>
      </w:r>
    </w:p>
  </w:footnote>
  <w:footnote w:type="continuationSeparator" w:id="0">
    <w:p w:rsidR="009861A7" w:rsidRDefault="009861A7" w:rsidP="00671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6D"/>
    <w:rsid w:val="00020100"/>
    <w:rsid w:val="000474DB"/>
    <w:rsid w:val="0005175F"/>
    <w:rsid w:val="000A3275"/>
    <w:rsid w:val="000A41BE"/>
    <w:rsid w:val="000E6AD2"/>
    <w:rsid w:val="00153C80"/>
    <w:rsid w:val="001C5F6A"/>
    <w:rsid w:val="0027764F"/>
    <w:rsid w:val="002C1DC7"/>
    <w:rsid w:val="002C4585"/>
    <w:rsid w:val="00356E1F"/>
    <w:rsid w:val="00380EEE"/>
    <w:rsid w:val="003B2DEA"/>
    <w:rsid w:val="00411F82"/>
    <w:rsid w:val="00436268"/>
    <w:rsid w:val="004776DB"/>
    <w:rsid w:val="004C51D3"/>
    <w:rsid w:val="00546090"/>
    <w:rsid w:val="00551CA5"/>
    <w:rsid w:val="00590A79"/>
    <w:rsid w:val="005D0FC1"/>
    <w:rsid w:val="006004AF"/>
    <w:rsid w:val="00621E6E"/>
    <w:rsid w:val="00657FE0"/>
    <w:rsid w:val="00671916"/>
    <w:rsid w:val="00701641"/>
    <w:rsid w:val="00714A59"/>
    <w:rsid w:val="007A1653"/>
    <w:rsid w:val="008379DB"/>
    <w:rsid w:val="00863E8E"/>
    <w:rsid w:val="008742FF"/>
    <w:rsid w:val="00884B34"/>
    <w:rsid w:val="008E64BA"/>
    <w:rsid w:val="008F4728"/>
    <w:rsid w:val="00917CDB"/>
    <w:rsid w:val="00946EAE"/>
    <w:rsid w:val="00977EA8"/>
    <w:rsid w:val="009861A7"/>
    <w:rsid w:val="009F79EA"/>
    <w:rsid w:val="00A66F45"/>
    <w:rsid w:val="00AB2BFC"/>
    <w:rsid w:val="00AE02C6"/>
    <w:rsid w:val="00B201C2"/>
    <w:rsid w:val="00B549E1"/>
    <w:rsid w:val="00B54B3E"/>
    <w:rsid w:val="00B747C4"/>
    <w:rsid w:val="00BC7EE7"/>
    <w:rsid w:val="00C0430A"/>
    <w:rsid w:val="00C04B5D"/>
    <w:rsid w:val="00C34154"/>
    <w:rsid w:val="00C56AEE"/>
    <w:rsid w:val="00C608AD"/>
    <w:rsid w:val="00CB6672"/>
    <w:rsid w:val="00D5539A"/>
    <w:rsid w:val="00D84A31"/>
    <w:rsid w:val="00E1168D"/>
    <w:rsid w:val="00E1666D"/>
    <w:rsid w:val="00E368F2"/>
    <w:rsid w:val="00E61E34"/>
    <w:rsid w:val="00ED5682"/>
    <w:rsid w:val="00EF4B40"/>
    <w:rsid w:val="00FA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9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19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191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551C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51C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9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19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191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551C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51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3055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1260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531&#25353;&#21608;&#25259;&#38706;\2018&#24180;5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531&#25353;&#21608;&#25259;&#38706;\2018&#24180;5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531&#25353;&#21608;&#25259;&#38706;\2018&#24180;5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9215361237740019E-2"/>
          <c:y val="8.0454732315087124E-2"/>
          <c:w val="0.64649951650780491"/>
          <c:h val="0.87345349903551217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'2018年5月'!$A$168:$A$170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其他</c:v>
                </c:pt>
              </c:strCache>
            </c:strRef>
          </c:cat>
          <c:val>
            <c:numRef>
              <c:f>'2018年5月'!$B$168:$B$170</c:f>
              <c:numCache>
                <c:formatCode>0.00%</c:formatCode>
                <c:ptCount val="3"/>
                <c:pt idx="0">
                  <c:v>3.5854745906507487E-3</c:v>
                </c:pt>
                <c:pt idx="1">
                  <c:v>0.78724057776115675</c:v>
                </c:pt>
                <c:pt idx="2">
                  <c:v>0.20917394764757904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2461182483768471"/>
          <c:y val="0.31123675805584544"/>
          <c:w val="0.27538817516231529"/>
          <c:h val="0.37752585143724499"/>
        </c:manualLayout>
      </c:layout>
      <c:overlay val="0"/>
      <c:txPr>
        <a:bodyPr/>
        <a:lstStyle/>
        <a:p>
          <a:pPr>
            <a:defRPr sz="800" baseline="0"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'2018年5月'!$A$178:$A$181</c:f>
              <c:strCache>
                <c:ptCount val="4"/>
                <c:pt idx="0">
                  <c:v>A</c:v>
                </c:pt>
                <c:pt idx="1">
                  <c:v>AA</c:v>
                </c:pt>
                <c:pt idx="2">
                  <c:v>AA-</c:v>
                </c:pt>
                <c:pt idx="3">
                  <c:v>AAA</c:v>
                </c:pt>
              </c:strCache>
            </c:strRef>
          </c:cat>
          <c:val>
            <c:numRef>
              <c:f>'2018年5月'!$B$178:$B$181</c:f>
              <c:numCache>
                <c:formatCode>0.00%</c:formatCode>
                <c:ptCount val="4"/>
                <c:pt idx="0">
                  <c:v>9.1622496987910418E-2</c:v>
                </c:pt>
                <c:pt idx="1">
                  <c:v>0.48462345444300392</c:v>
                </c:pt>
                <c:pt idx="2">
                  <c:v>0.14888655760535441</c:v>
                </c:pt>
                <c:pt idx="3">
                  <c:v>0.27486749096373125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6325558361808554"/>
          <c:y val="0.30618788036110872"/>
          <c:w val="0.15016424833688236"/>
          <c:h val="0.327292549969715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141870690194547"/>
          <c:y val="8.0468178493050477E-2"/>
          <c:w val="0.64133071434936517"/>
          <c:h val="0.736271737064322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'2018年5月'!$B$184</c:f>
              <c:strCache>
                <c:ptCount val="1"/>
                <c:pt idx="0">
                  <c:v>5月各行业</c:v>
                </c:pt>
              </c:strCache>
            </c:strRef>
          </c:tx>
          <c:invertIfNegative val="0"/>
          <c:cat>
            <c:strRef>
              <c:f>'2018年5月'!$A$185:$A$191</c:f>
              <c:strCache>
                <c:ptCount val="7"/>
                <c:pt idx="0">
                  <c:v>电力、热力、燃气及水生产和供应业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  <c:pt idx="3">
                  <c:v>科学研究、技术服务和地质勘查业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综合</c:v>
                </c:pt>
              </c:strCache>
            </c:strRef>
          </c:cat>
          <c:val>
            <c:numRef>
              <c:f>'2018年5月'!$B$185:$B$191</c:f>
              <c:numCache>
                <c:formatCode>0.00%</c:formatCode>
                <c:ptCount val="7"/>
                <c:pt idx="0">
                  <c:v>0.13743374548186563</c:v>
                </c:pt>
                <c:pt idx="1">
                  <c:v>0</c:v>
                </c:pt>
                <c:pt idx="2">
                  <c:v>0.47317064231951511</c:v>
                </c:pt>
                <c:pt idx="3">
                  <c:v>0</c:v>
                </c:pt>
                <c:pt idx="4">
                  <c:v>0.27486749096373125</c:v>
                </c:pt>
                <c:pt idx="5">
                  <c:v>4.5811248493955209E-2</c:v>
                </c:pt>
                <c:pt idx="6">
                  <c:v>6.8716872740932813E-2</c:v>
                </c:pt>
              </c:numCache>
            </c:numRef>
          </c:val>
        </c:ser>
        <c:ser>
          <c:idx val="1"/>
          <c:order val="1"/>
          <c:tx>
            <c:strRef>
              <c:f>'2018年5月'!$C$184</c:f>
              <c:strCache>
                <c:ptCount val="1"/>
                <c:pt idx="0">
                  <c:v>4月各行业</c:v>
                </c:pt>
              </c:strCache>
            </c:strRef>
          </c:tx>
          <c:invertIfNegative val="0"/>
          <c:cat>
            <c:strRef>
              <c:f>'2018年5月'!$A$185:$A$191</c:f>
              <c:strCache>
                <c:ptCount val="7"/>
                <c:pt idx="0">
                  <c:v>电力、热力、燃气及水生产和供应业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  <c:pt idx="3">
                  <c:v>科学研究、技术服务和地质勘查业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综合</c:v>
                </c:pt>
              </c:strCache>
            </c:strRef>
          </c:cat>
          <c:val>
            <c:numRef>
              <c:f>'2018年5月'!$C$185:$C$191</c:f>
              <c:numCache>
                <c:formatCode>0.00%</c:formatCode>
                <c:ptCount val="7"/>
                <c:pt idx="0">
                  <c:v>0</c:v>
                </c:pt>
                <c:pt idx="1">
                  <c:v>2.7881170451535556E-2</c:v>
                </c:pt>
                <c:pt idx="2">
                  <c:v>0.9721188295484644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'2018年5月'!$D$184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'2018年5月'!$A$185:$A$191</c:f>
              <c:strCache>
                <c:ptCount val="7"/>
                <c:pt idx="0">
                  <c:v>电力、热力、燃气及水生产和供应业</c:v>
                </c:pt>
                <c:pt idx="1">
                  <c:v>水利、环境和公共设施管理业</c:v>
                </c:pt>
                <c:pt idx="2">
                  <c:v>租赁和商务服务业</c:v>
                </c:pt>
                <c:pt idx="3">
                  <c:v>科学研究、技术服务和地质勘查业</c:v>
                </c:pt>
                <c:pt idx="4">
                  <c:v>建筑业</c:v>
                </c:pt>
                <c:pt idx="5">
                  <c:v>批发和零售业</c:v>
                </c:pt>
                <c:pt idx="6">
                  <c:v>综合</c:v>
                </c:pt>
              </c:strCache>
            </c:strRef>
          </c:cat>
          <c:val>
            <c:numRef>
              <c:f>'2018年5月'!$D$185:$D$191</c:f>
              <c:numCache>
                <c:formatCode>0.00%</c:formatCode>
                <c:ptCount val="7"/>
                <c:pt idx="0">
                  <c:v>0.13743374548186563</c:v>
                </c:pt>
                <c:pt idx="1">
                  <c:v>-2.7881170451535556E-2</c:v>
                </c:pt>
                <c:pt idx="2">
                  <c:v>-0.49894818722894929</c:v>
                </c:pt>
                <c:pt idx="3">
                  <c:v>0</c:v>
                </c:pt>
                <c:pt idx="4">
                  <c:v>0.27486749096373125</c:v>
                </c:pt>
                <c:pt idx="5">
                  <c:v>4.5811248493955209E-2</c:v>
                </c:pt>
                <c:pt idx="6">
                  <c:v>6.8716872740932813E-2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173056"/>
        <c:axId val="112174592"/>
      </c:barChart>
      <c:catAx>
        <c:axId val="1121730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12174592"/>
        <c:crosses val="autoZero"/>
        <c:auto val="1"/>
        <c:lblAlgn val="ctr"/>
        <c:lblOffset val="100"/>
        <c:noMultiLvlLbl val="0"/>
      </c:catAx>
      <c:valAx>
        <c:axId val="112174592"/>
        <c:scaling>
          <c:orientation val="minMax"/>
          <c:max val="1"/>
          <c:min val="-0.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2173056"/>
        <c:crosses val="autoZero"/>
        <c:crossBetween val="between"/>
        <c:majorUnit val="0.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6</cp:revision>
  <dcterms:created xsi:type="dcterms:W3CDTF">2018-06-04T08:03:00Z</dcterms:created>
  <dcterms:modified xsi:type="dcterms:W3CDTF">2018-06-04T08:12:00Z</dcterms:modified>
</cp:coreProperties>
</file>